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vertAnchor="text" w:horzAnchor="margin" w:tblpXSpec="right" w:tblpY="-527"/>
        <w:tblW w:w="703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31"/>
      </w:tblGrid>
      <w:tr w:rsidR="007A6033" w14:paraId="713C7381" w14:textId="77777777" w:rsidTr="007A6033">
        <w:trPr>
          <w:trHeight w:val="454"/>
        </w:trPr>
        <w:tc>
          <w:tcPr>
            <w:tcW w:w="7031" w:type="dxa"/>
          </w:tcPr>
          <w:p w14:paraId="06D9EBEC" w14:textId="77777777" w:rsidR="007A6033" w:rsidRDefault="007A6033" w:rsidP="007A60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Communiqué</w:t>
            </w:r>
          </w:p>
        </w:tc>
      </w:tr>
      <w:tr w:rsidR="007A6033" w14:paraId="1784B89D" w14:textId="77777777" w:rsidTr="007A6033">
        <w:tc>
          <w:tcPr>
            <w:tcW w:w="7031" w:type="dxa"/>
          </w:tcPr>
          <w:p w14:paraId="37281399" w14:textId="77777777" w:rsidR="007A6033" w:rsidRDefault="007A6033" w:rsidP="007A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hAnsi="Arial"/>
                <w:b/>
                <w:sz w:val="50"/>
                <w:szCs w:val="50"/>
              </w:rPr>
            </w:pPr>
            <w:bookmarkStart w:id="0" w:name="_heading=h.gjdgxs" w:colFirst="0" w:colLast="0"/>
            <w:bookmarkEnd w:id="0"/>
            <w:r>
              <w:rPr>
                <w:rFonts w:ascii="Arial" w:hAnsi="Arial"/>
                <w:b/>
                <w:sz w:val="50"/>
                <w:szCs w:val="50"/>
              </w:rPr>
              <w:t xml:space="preserve">Plus que jamais aux cotés des associations </w:t>
            </w:r>
          </w:p>
        </w:tc>
      </w:tr>
      <w:tr w:rsidR="007A6033" w14:paraId="15C37CCE" w14:textId="77777777" w:rsidTr="007A6033">
        <w:trPr>
          <w:trHeight w:val="510"/>
        </w:trPr>
        <w:tc>
          <w:tcPr>
            <w:tcW w:w="7031" w:type="dxa"/>
            <w:vAlign w:val="center"/>
          </w:tcPr>
          <w:p w14:paraId="59AB2551" w14:textId="77777777" w:rsidR="007A6033" w:rsidRDefault="007A6033" w:rsidP="007A6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/>
                <w:sz w:val="40"/>
                <w:szCs w:val="40"/>
              </w:rPr>
            </w:pPr>
            <w:r>
              <w:rPr>
                <w:sz w:val="40"/>
                <w:szCs w:val="40"/>
              </w:rPr>
              <w:t>9 avril 2021</w:t>
            </w:r>
          </w:p>
        </w:tc>
      </w:tr>
      <w:tr w:rsidR="007A6033" w14:paraId="5EC6930D" w14:textId="77777777" w:rsidTr="007A6033">
        <w:trPr>
          <w:trHeight w:val="330"/>
        </w:trPr>
        <w:tc>
          <w:tcPr>
            <w:tcW w:w="7031" w:type="dxa"/>
          </w:tcPr>
          <w:p w14:paraId="07979F4A" w14:textId="77777777" w:rsidR="007A6033" w:rsidRDefault="007A6033" w:rsidP="007A6033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3044A45" wp14:editId="56A1E5CC">
                      <wp:extent cx="477525" cy="117525"/>
                      <wp:effectExtent l="0" t="0" r="0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2000" y="3726000"/>
                                <a:ext cx="46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828FF8" w14:textId="77777777" w:rsidR="007A6033" w:rsidRDefault="007A6033" w:rsidP="007A6033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44A45" id="Rectangle 14" o:spid="_x0000_s1026" style="width:37.6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" fillcolor="black [3200]" stroked="f">
                      <v:textbox inset="2.53958mm,2.53958mm,2.53958mm,2.53958mm">
                        <w:txbxContent>
                          <w:p w14:paraId="17828FF8" w14:textId="77777777" w:rsidR="007A6033" w:rsidRDefault="007A6033" w:rsidP="007A6033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72BBBDCD" w14:textId="77777777" w:rsidR="00CE7A25" w:rsidRDefault="00CE7A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/>
          <w:sz w:val="22"/>
          <w:szCs w:val="22"/>
        </w:rPr>
      </w:pPr>
    </w:p>
    <w:p w14:paraId="04525151" w14:textId="65064E17" w:rsidR="007A6033" w:rsidRDefault="007963E9" w:rsidP="007A6033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contextualSpacing/>
        <w:jc w:val="both"/>
      </w:pPr>
      <w:r>
        <w:t>Le Conseil municipal vient de voter ses subventions annuelles aux associations socio-culturelles de</w:t>
      </w:r>
      <w:r w:rsidR="00482A16">
        <w:t xml:space="preserve"> la ville. </w:t>
      </w:r>
      <w:r w:rsidR="005F16D0">
        <w:t xml:space="preserve">Contrairement aux orientations nationales qui assèchent le mouvement associatif, la municipalité a décidé de conforter son soutien aux associations avec une enveloppe de </w:t>
      </w:r>
      <w:r w:rsidR="00482A16">
        <w:t>149 500 euros pour 33</w:t>
      </w:r>
      <w:r>
        <w:t xml:space="preserve"> associations engagées au quotidien, à travers les bénévoles qu’elles rassemblent, pour la solidarité, l’accès aux droits, les luttes contre les discriminations sociales, raciales, de genres et de handicap.</w:t>
      </w:r>
    </w:p>
    <w:p w14:paraId="3DEEB500" w14:textId="77777777" w:rsidR="007A6033" w:rsidRDefault="007A6033" w:rsidP="007A6033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76" w:lineRule="auto"/>
        <w:contextualSpacing/>
        <w:jc w:val="both"/>
      </w:pPr>
    </w:p>
    <w:p w14:paraId="0C8A7E30" w14:textId="07A1CA34" w:rsidR="00CE7A25" w:rsidRPr="007A6033" w:rsidRDefault="007963E9" w:rsidP="007A603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</w:pPr>
      <w:r>
        <w:rPr>
          <w:b/>
        </w:rPr>
        <w:t>Le dynamisme d’une ville se mesure aussi à la richesse et à la diversité des associations qui se mobilisent en son sein pour faire vivre l’esprit d’entraide, de fraternité, de bienveillance. Et heureusement, La Courneuve n’en manque pas.</w:t>
      </w:r>
    </w:p>
    <w:p w14:paraId="3817C1D8" w14:textId="77777777" w:rsidR="00CE7A25" w:rsidRDefault="00CE7A25" w:rsidP="007A6033">
      <w:pPr>
        <w:spacing w:line="276" w:lineRule="auto"/>
        <w:jc w:val="both"/>
        <w:rPr>
          <w:b/>
        </w:rPr>
      </w:pPr>
    </w:p>
    <w:p w14:paraId="749CF113" w14:textId="2AA83F32" w:rsidR="005F16D0" w:rsidRDefault="007963E9" w:rsidP="007A6033">
      <w:pPr>
        <w:spacing w:line="276" w:lineRule="auto"/>
        <w:jc w:val="both"/>
      </w:pPr>
      <w:r>
        <w:t xml:space="preserve">Nous savons, en ces temps de crise sanitaire, ce que nous devons à ces engagements dévoués. Nous connaissons l’apport qu’elles constituent pour redonner de l’estime de soi individuel et collectif et renforcer le « pouvoir d’agir » de </w:t>
      </w:r>
      <w:proofErr w:type="spellStart"/>
      <w:r>
        <w:t>chacun·e</w:t>
      </w:r>
      <w:proofErr w:type="spellEnd"/>
      <w:r>
        <w:t>. Elles contribuent au “faire commun”.</w:t>
      </w:r>
    </w:p>
    <w:p w14:paraId="77448635" w14:textId="77777777" w:rsidR="005F16D0" w:rsidRDefault="005F16D0" w:rsidP="007A6033">
      <w:pPr>
        <w:spacing w:line="276" w:lineRule="auto"/>
        <w:jc w:val="both"/>
      </w:pPr>
    </w:p>
    <w:p w14:paraId="34404038" w14:textId="415B12C6" w:rsidR="00CE7A25" w:rsidRDefault="007963E9" w:rsidP="007A6033">
      <w:pPr>
        <w:spacing w:line="276" w:lineRule="auto"/>
        <w:jc w:val="both"/>
      </w:pPr>
      <w:r>
        <w:rPr>
          <w:b/>
        </w:rPr>
        <w:t xml:space="preserve">Nous sommes </w:t>
      </w:r>
      <w:proofErr w:type="spellStart"/>
      <w:r>
        <w:rPr>
          <w:b/>
        </w:rPr>
        <w:t>fier·e·s</w:t>
      </w:r>
      <w:proofErr w:type="spellEnd"/>
      <w:r>
        <w:rPr>
          <w:b/>
        </w:rPr>
        <w:t xml:space="preserve"> de la vie associative courneuvie</w:t>
      </w:r>
      <w:r w:rsidR="005F16D0">
        <w:rPr>
          <w:b/>
        </w:rPr>
        <w:t xml:space="preserve">nne et son dynamisme est source </w:t>
      </w:r>
      <w:r>
        <w:rPr>
          <w:b/>
        </w:rPr>
        <w:t xml:space="preserve">d’épanouissement. </w:t>
      </w:r>
      <w:r>
        <w:t xml:space="preserve">Elle peut compter sur l’aide de la Municipalité en termes de subventions, d’accompagnement à la structuration, d’aide matérielle (mise à disposition de salles, de matériels, aides exceptionnelles…) et nous sommes à ses côtés pour que nombre d’associations reçoivent une aide d’autres institutions notamment de l’État, dans le cadre de la « Politique de la ville ». </w:t>
      </w:r>
    </w:p>
    <w:p w14:paraId="138D20DB" w14:textId="77777777" w:rsidR="005F16D0" w:rsidRDefault="005F16D0" w:rsidP="007A6033">
      <w:pPr>
        <w:spacing w:line="276" w:lineRule="auto"/>
        <w:jc w:val="both"/>
      </w:pPr>
    </w:p>
    <w:p w14:paraId="4F83794E" w14:textId="653BE5E5" w:rsidR="00CE7A25" w:rsidRPr="005F16D0" w:rsidRDefault="007963E9" w:rsidP="007A6033">
      <w:pPr>
        <w:spacing w:line="276" w:lineRule="auto"/>
        <w:ind w:left="2160"/>
        <w:jc w:val="both"/>
      </w:pPr>
      <w:r>
        <w:t xml:space="preserve">La volonté d’un accompagnement renforcé est un choix politique de la majorité municipale </w:t>
      </w:r>
      <w:r w:rsidR="005F16D0">
        <w:t xml:space="preserve">de longue date et que nous conforterons </w:t>
      </w:r>
      <w:r>
        <w:t>tout au long du mandat. Un regard attentif sera porté à chaque fois que la situation l’exige comme nous l’avons fait pour soutenir de manière plus importante les clubs et associations sportives (délibération du conseil municipal de novembre 2020).</w:t>
      </w:r>
      <w:r w:rsidR="005F16D0">
        <w:t xml:space="preserve"> </w:t>
      </w:r>
      <w:r>
        <w:rPr>
          <w:b/>
        </w:rPr>
        <w:t>Plus que jamais, nous réaffirmons aux associations engagées dans une dynamique d</w:t>
      </w:r>
      <w:r w:rsidR="007A6033">
        <w:rPr>
          <w:b/>
        </w:rPr>
        <w:t xml:space="preserve">’empathie, de vivre ensemble, </w:t>
      </w:r>
      <w:bookmarkStart w:id="1" w:name="_GoBack"/>
      <w:bookmarkEnd w:id="1"/>
      <w:r>
        <w:rPr>
          <w:b/>
        </w:rPr>
        <w:t xml:space="preserve">de promotion de la citoyenneté et du commun qu’elles peuvent compter sur les choix municipaux pour l’intérêt des </w:t>
      </w:r>
      <w:proofErr w:type="spellStart"/>
      <w:r>
        <w:rPr>
          <w:b/>
        </w:rPr>
        <w:t>Courneuvien·ne·s</w:t>
      </w:r>
      <w:proofErr w:type="spellEnd"/>
      <w:r>
        <w:rPr>
          <w:b/>
        </w:rPr>
        <w:t>.</w:t>
      </w:r>
    </w:p>
    <w:sectPr w:rsidR="00CE7A25" w:rsidRPr="005F16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304" w:bottom="3686" w:left="1304" w:header="56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E7320" w14:textId="77777777" w:rsidR="00DF7F30" w:rsidRDefault="00DF7F30">
      <w:pPr>
        <w:spacing w:line="240" w:lineRule="auto"/>
      </w:pPr>
      <w:r>
        <w:separator/>
      </w:r>
    </w:p>
  </w:endnote>
  <w:endnote w:type="continuationSeparator" w:id="0">
    <w:p w14:paraId="615C1387" w14:textId="77777777" w:rsidR="00DF7F30" w:rsidRDefault="00DF7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DFA87" w14:textId="77777777" w:rsidR="00CE7A25" w:rsidRDefault="00CE7A2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hAnsi="Arial"/>
        <w:color w:val="000000"/>
        <w:sz w:val="2"/>
        <w:szCs w:val="2"/>
      </w:rPr>
    </w:pPr>
  </w:p>
  <w:tbl>
    <w:tblPr>
      <w:tblStyle w:val="a0"/>
      <w:tblW w:w="9247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681"/>
      <w:gridCol w:w="566"/>
    </w:tblGrid>
    <w:tr w:rsidR="00CE7A25" w14:paraId="6FE114B2" w14:textId="77777777">
      <w:tc>
        <w:tcPr>
          <w:tcW w:w="8681" w:type="dxa"/>
          <w:vAlign w:val="bottom"/>
        </w:tcPr>
        <w:p w14:paraId="5190ED7A" w14:textId="77777777" w:rsidR="00CE7A25" w:rsidRDefault="007963E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rial" w:hAnsi="Arial"/>
              <w:color w:val="E1002D"/>
              <w:sz w:val="15"/>
              <w:szCs w:val="15"/>
            </w:rPr>
          </w:pPr>
          <w:r>
            <w:rPr>
              <w:rFonts w:ascii="Arial" w:hAnsi="Arial"/>
              <w:b/>
              <w:color w:val="E1002D"/>
              <w:sz w:val="15"/>
              <w:szCs w:val="15"/>
            </w:rPr>
            <w:t>Contact presse :</w:t>
          </w:r>
          <w:r>
            <w:rPr>
              <w:rFonts w:ascii="Arial" w:hAnsi="Arial"/>
              <w:color w:val="E1002D"/>
              <w:sz w:val="15"/>
              <w:szCs w:val="15"/>
            </w:rPr>
            <w:t xml:space="preserve"> @ville-la-courneuve.fr</w:t>
          </w:r>
        </w:p>
      </w:tc>
      <w:tc>
        <w:tcPr>
          <w:tcW w:w="566" w:type="dxa"/>
          <w:vAlign w:val="bottom"/>
        </w:tcPr>
        <w:p w14:paraId="3FF33265" w14:textId="4FD7998C" w:rsidR="00CE7A25" w:rsidRDefault="007963E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Arial" w:hAnsi="Arial"/>
              <w:color w:val="E1002D"/>
              <w:sz w:val="15"/>
              <w:szCs w:val="15"/>
            </w:rPr>
          </w:pPr>
          <w:r>
            <w:rPr>
              <w:rFonts w:ascii="Arial" w:hAnsi="Arial"/>
              <w:b/>
              <w:color w:val="E1002D"/>
              <w:sz w:val="15"/>
              <w:szCs w:val="15"/>
            </w:rPr>
            <w:fldChar w:fldCharType="begin"/>
          </w:r>
          <w:r>
            <w:rPr>
              <w:rFonts w:ascii="Arial" w:hAnsi="Arial"/>
              <w:b/>
              <w:color w:val="E1002D"/>
              <w:sz w:val="15"/>
              <w:szCs w:val="15"/>
            </w:rPr>
            <w:instrText>PAGE</w:instrText>
          </w:r>
          <w:r>
            <w:rPr>
              <w:rFonts w:ascii="Arial" w:hAnsi="Arial"/>
              <w:b/>
              <w:color w:val="E1002D"/>
              <w:sz w:val="15"/>
              <w:szCs w:val="15"/>
            </w:rPr>
            <w:fldChar w:fldCharType="separate"/>
          </w:r>
          <w:r w:rsidR="007A6033">
            <w:rPr>
              <w:rFonts w:ascii="Arial" w:hAnsi="Arial"/>
              <w:b/>
              <w:noProof/>
              <w:color w:val="E1002D"/>
              <w:sz w:val="15"/>
              <w:szCs w:val="15"/>
            </w:rPr>
            <w:t>2</w:t>
          </w:r>
          <w:r>
            <w:rPr>
              <w:rFonts w:ascii="Arial" w:hAnsi="Arial"/>
              <w:b/>
              <w:color w:val="E1002D"/>
              <w:sz w:val="15"/>
              <w:szCs w:val="15"/>
            </w:rPr>
            <w:fldChar w:fldCharType="end"/>
          </w:r>
          <w:r>
            <w:rPr>
              <w:rFonts w:ascii="Arial" w:hAnsi="Arial"/>
              <w:color w:val="E1002D"/>
              <w:sz w:val="15"/>
              <w:szCs w:val="15"/>
            </w:rPr>
            <w:t>/</w:t>
          </w:r>
          <w:r>
            <w:rPr>
              <w:rFonts w:ascii="Arial" w:hAnsi="Arial"/>
              <w:color w:val="E1002D"/>
              <w:sz w:val="15"/>
              <w:szCs w:val="15"/>
            </w:rPr>
            <w:fldChar w:fldCharType="begin"/>
          </w:r>
          <w:r>
            <w:rPr>
              <w:rFonts w:ascii="Arial" w:hAnsi="Arial"/>
              <w:color w:val="E1002D"/>
              <w:sz w:val="15"/>
              <w:szCs w:val="15"/>
            </w:rPr>
            <w:instrText>NUMPAGES</w:instrText>
          </w:r>
          <w:r>
            <w:rPr>
              <w:rFonts w:ascii="Arial" w:hAnsi="Arial"/>
              <w:color w:val="E1002D"/>
              <w:sz w:val="15"/>
              <w:szCs w:val="15"/>
            </w:rPr>
            <w:fldChar w:fldCharType="separate"/>
          </w:r>
          <w:r w:rsidR="007A6033">
            <w:rPr>
              <w:rFonts w:ascii="Arial" w:hAnsi="Arial"/>
              <w:noProof/>
              <w:color w:val="E1002D"/>
              <w:sz w:val="15"/>
              <w:szCs w:val="15"/>
            </w:rPr>
            <w:t>2</w:t>
          </w:r>
          <w:r>
            <w:rPr>
              <w:rFonts w:ascii="Arial" w:hAnsi="Arial"/>
              <w:color w:val="E1002D"/>
              <w:sz w:val="15"/>
              <w:szCs w:val="15"/>
            </w:rPr>
            <w:fldChar w:fldCharType="end"/>
          </w:r>
        </w:p>
      </w:tc>
    </w:tr>
  </w:tbl>
  <w:p w14:paraId="28E3DFDC" w14:textId="77777777" w:rsidR="00CE7A25" w:rsidRDefault="00CE7A25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Arial" w:hAnsi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64D41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line="264" w:lineRule="auto"/>
      <w:rPr>
        <w:rFonts w:ascii="Arial" w:hAnsi="Arial"/>
        <w:b/>
        <w:color w:val="FF0000"/>
        <w:sz w:val="15"/>
        <w:szCs w:val="15"/>
      </w:rPr>
    </w:pPr>
    <w:r>
      <w:rPr>
        <w:rFonts w:ascii="Arial" w:hAnsi="Arial"/>
        <w:b/>
        <w:color w:val="FF0000"/>
        <w:sz w:val="15"/>
        <w:szCs w:val="15"/>
      </w:rPr>
      <w:t>Hôtel de ville</w:t>
    </w:r>
  </w:p>
  <w:p w14:paraId="7F7E86A2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line="264" w:lineRule="auto"/>
      <w:rPr>
        <w:rFonts w:ascii="Arial" w:hAnsi="Arial"/>
        <w:color w:val="FF0000"/>
        <w:sz w:val="12"/>
        <w:szCs w:val="12"/>
      </w:rPr>
    </w:pPr>
    <w:proofErr w:type="gramStart"/>
    <w:r>
      <w:rPr>
        <w:rFonts w:ascii="Arial" w:hAnsi="Arial"/>
        <w:color w:val="FF0000"/>
        <w:sz w:val="12"/>
        <w:szCs w:val="12"/>
      </w:rPr>
      <w:t>avenue</w:t>
    </w:r>
    <w:proofErr w:type="gramEnd"/>
    <w:r>
      <w:rPr>
        <w:rFonts w:ascii="Arial" w:hAnsi="Arial"/>
        <w:color w:val="FF0000"/>
        <w:sz w:val="12"/>
        <w:szCs w:val="12"/>
      </w:rPr>
      <w:t xml:space="preserve"> de la République</w:t>
    </w:r>
  </w:p>
  <w:p w14:paraId="33FFF4C1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line="264" w:lineRule="auto"/>
      <w:rPr>
        <w:rFonts w:ascii="Arial" w:hAnsi="Arial"/>
        <w:color w:val="FF0000"/>
        <w:sz w:val="12"/>
        <w:szCs w:val="12"/>
      </w:rPr>
    </w:pPr>
    <w:r>
      <w:rPr>
        <w:rFonts w:ascii="Arial" w:hAnsi="Arial"/>
        <w:color w:val="FF0000"/>
        <w:sz w:val="12"/>
        <w:szCs w:val="12"/>
      </w:rPr>
      <w:t>93126 La Courneuve cedex</w:t>
    </w:r>
  </w:p>
  <w:p w14:paraId="7D5D6C59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line="264" w:lineRule="auto"/>
      <w:rPr>
        <w:rFonts w:ascii="Arial" w:hAnsi="Arial"/>
        <w:color w:val="FF0000"/>
        <w:sz w:val="12"/>
        <w:szCs w:val="12"/>
      </w:rPr>
    </w:pPr>
    <w:r>
      <w:rPr>
        <w:rFonts w:ascii="Arial" w:hAnsi="Arial"/>
        <w:b/>
        <w:color w:val="FF0000"/>
        <w:sz w:val="12"/>
        <w:szCs w:val="12"/>
      </w:rPr>
      <w:t>T.</w:t>
    </w:r>
    <w:r>
      <w:rPr>
        <w:rFonts w:ascii="Arial" w:hAnsi="Arial"/>
        <w:color w:val="FF0000"/>
        <w:sz w:val="12"/>
        <w:szCs w:val="12"/>
      </w:rPr>
      <w:t xml:space="preserve"> 01 49 92 60 00</w:t>
    </w:r>
  </w:p>
  <w:p w14:paraId="0412832E" w14:textId="77777777" w:rsidR="00CE7A25" w:rsidRDefault="00DF7F30">
    <w:pPr>
      <w:pBdr>
        <w:top w:val="nil"/>
        <w:left w:val="nil"/>
        <w:bottom w:val="nil"/>
        <w:right w:val="nil"/>
        <w:between w:val="nil"/>
      </w:pBdr>
      <w:spacing w:line="264" w:lineRule="auto"/>
      <w:rPr>
        <w:rFonts w:ascii="Arial" w:hAnsi="Arial"/>
        <w:b/>
        <w:color w:val="FF0000"/>
        <w:sz w:val="12"/>
        <w:szCs w:val="12"/>
      </w:rPr>
    </w:pPr>
    <w:hyperlink r:id="rId1">
      <w:r w:rsidR="007963E9">
        <w:rPr>
          <w:rFonts w:ascii="Arial" w:hAnsi="Arial"/>
          <w:b/>
          <w:color w:val="FF0000"/>
          <w:sz w:val="12"/>
          <w:szCs w:val="12"/>
        </w:rPr>
        <w:t>www.lacourneuve.fr</w:t>
      </w:r>
    </w:hyperlink>
  </w:p>
  <w:p w14:paraId="553F1E1A" w14:textId="77777777" w:rsidR="00CE7A25" w:rsidRDefault="00CE7A25">
    <w:pPr>
      <w:pBdr>
        <w:top w:val="nil"/>
        <w:left w:val="nil"/>
        <w:bottom w:val="nil"/>
        <w:right w:val="nil"/>
        <w:between w:val="nil"/>
      </w:pBdr>
      <w:spacing w:line="240" w:lineRule="auto"/>
      <w:ind w:left="-1588"/>
      <w:rPr>
        <w:rFonts w:ascii="Arial" w:hAnsi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DB913" w14:textId="77777777" w:rsidR="00DF7F30" w:rsidRDefault="00DF7F30">
      <w:pPr>
        <w:spacing w:line="240" w:lineRule="auto"/>
      </w:pPr>
      <w:r>
        <w:separator/>
      </w:r>
    </w:p>
  </w:footnote>
  <w:footnote w:type="continuationSeparator" w:id="0">
    <w:p w14:paraId="2C7FB52E" w14:textId="77777777" w:rsidR="00DF7F30" w:rsidRDefault="00DF7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0F2A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line="240" w:lineRule="auto"/>
      <w:ind w:left="-737"/>
      <w:rPr>
        <w:rFonts w:ascii="Arial" w:hAnsi="Arial"/>
        <w:color w:val="000000"/>
        <w:sz w:val="15"/>
        <w:szCs w:val="15"/>
      </w:rPr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11DF3963" wp14:editId="3BA934A0">
          <wp:extent cx="1260000" cy="288000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000" cy="2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ABFF" w14:textId="77777777" w:rsidR="00CE7A25" w:rsidRDefault="007963E9">
    <w:pPr>
      <w:pBdr>
        <w:top w:val="nil"/>
        <w:left w:val="nil"/>
        <w:bottom w:val="nil"/>
        <w:right w:val="nil"/>
        <w:between w:val="nil"/>
      </w:pBdr>
      <w:spacing w:before="200" w:after="1800" w:line="240" w:lineRule="auto"/>
      <w:ind w:left="-624"/>
      <w:rPr>
        <w:rFonts w:ascii="Arial" w:hAnsi="Arial"/>
        <w:color w:val="000000"/>
        <w:sz w:val="15"/>
        <w:szCs w:val="15"/>
      </w:rPr>
    </w:pPr>
    <w:r>
      <w:rPr>
        <w:rFonts w:ascii="Arial" w:hAnsi="Arial"/>
        <w:noProof/>
        <w:color w:val="000000"/>
        <w:sz w:val="15"/>
        <w:szCs w:val="15"/>
      </w:rPr>
      <w:drawing>
        <wp:anchor distT="0" distB="0" distL="107950" distR="144145" simplePos="0" relativeHeight="251658240" behindDoc="0" locked="0" layoutInCell="1" hidden="0" allowOverlap="1" wp14:anchorId="6554B7AA" wp14:editId="7E16D0EB">
          <wp:simplePos x="0" y="0"/>
          <wp:positionH relativeFrom="page">
            <wp:posOffset>0</wp:posOffset>
          </wp:positionH>
          <wp:positionV relativeFrom="page">
            <wp:posOffset>1260475</wp:posOffset>
          </wp:positionV>
          <wp:extent cx="2052000" cy="7466400"/>
          <wp:effectExtent l="0" t="0" r="0" b="0"/>
          <wp:wrapSquare wrapText="right" distT="0" distB="0" distL="107950" distR="144145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569" t="11676" r="30895" b="18417"/>
                  <a:stretch>
                    <a:fillRect/>
                  </a:stretch>
                </pic:blipFill>
                <pic:spPr>
                  <a:xfrm>
                    <a:off x="0" y="0"/>
                    <a:ext cx="2052000" cy="74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4C59B13F" wp14:editId="27F18AB1">
          <wp:extent cx="2520000" cy="5724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000" cy="57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5"/>
    <w:rsid w:val="00275D50"/>
    <w:rsid w:val="00367E80"/>
    <w:rsid w:val="00372079"/>
    <w:rsid w:val="003B710C"/>
    <w:rsid w:val="004662A4"/>
    <w:rsid w:val="00482A16"/>
    <w:rsid w:val="00493A86"/>
    <w:rsid w:val="005F16D0"/>
    <w:rsid w:val="006E2137"/>
    <w:rsid w:val="007963E9"/>
    <w:rsid w:val="007A6033"/>
    <w:rsid w:val="00B8790C"/>
    <w:rsid w:val="00C16AE8"/>
    <w:rsid w:val="00C275D9"/>
    <w:rsid w:val="00CE7A25"/>
    <w:rsid w:val="00DF7F30"/>
    <w:rsid w:val="00F07ABC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D43D"/>
  <w15:docId w15:val="{8238DB16-DFDE-C843-9165-092353C4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FE"/>
    <w:pPr>
      <w:spacing w:line="220" w:lineRule="atLeast"/>
    </w:pPr>
    <w:rPr>
      <w:rFonts w:asciiTheme="minorHAnsi" w:hAnsi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F9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2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semiHidden/>
    <w:rsid w:val="005528FE"/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28FE"/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rsid w:val="00F92CE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92CEE"/>
    <w:pPr>
      <w:spacing w:after="100"/>
      <w:ind w:left="200"/>
    </w:pPr>
  </w:style>
  <w:style w:type="paragraph" w:styleId="En-tte">
    <w:name w:val="header"/>
    <w:basedOn w:val="Normal"/>
    <w:link w:val="En-tteCar"/>
    <w:uiPriority w:val="99"/>
    <w:semiHidden/>
    <w:rsid w:val="00DF20C4"/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5528FE"/>
    <w:rPr>
      <w:rFonts w:asciiTheme="minorHAnsi" w:hAnsiTheme="minorHAnsi"/>
      <w:sz w:val="15"/>
    </w:rPr>
  </w:style>
  <w:style w:type="paragraph" w:styleId="Pieddepage">
    <w:name w:val="footer"/>
    <w:basedOn w:val="Normal"/>
    <w:link w:val="PieddepageCar"/>
    <w:uiPriority w:val="99"/>
    <w:semiHidden/>
    <w:rsid w:val="00142D8A"/>
    <w:rPr>
      <w:sz w:val="15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528FE"/>
    <w:rPr>
      <w:rFonts w:asciiTheme="minorHAnsi" w:hAnsiTheme="minorHAnsi"/>
      <w:sz w:val="15"/>
    </w:rPr>
  </w:style>
  <w:style w:type="character" w:styleId="Numrodepage">
    <w:name w:val="page number"/>
    <w:basedOn w:val="Policepardfaut"/>
    <w:uiPriority w:val="99"/>
    <w:semiHidden/>
    <w:rsid w:val="00F92CEE"/>
  </w:style>
  <w:style w:type="character" w:styleId="Lienhypertexte">
    <w:name w:val="Hyperlink"/>
    <w:basedOn w:val="Policepardfaut"/>
    <w:uiPriority w:val="99"/>
    <w:semiHidden/>
    <w:rsid w:val="00142D8A"/>
    <w:rPr>
      <w:color w:val="000000" w:themeColor="hyperlink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F92CEE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treprincipal">
    <w:name w:val="S_Titre principal"/>
    <w:basedOn w:val="Normal"/>
    <w:next w:val="Normal"/>
    <w:qFormat/>
    <w:rsid w:val="00FA4A34"/>
    <w:pPr>
      <w:spacing w:line="216" w:lineRule="auto"/>
    </w:pPr>
    <w:rPr>
      <w:b/>
      <w:color w:val="E1002D" w:themeColor="text2"/>
      <w:sz w:val="50"/>
      <w:szCs w:val="50"/>
    </w:rPr>
  </w:style>
  <w:style w:type="paragraph" w:customStyle="1" w:styleId="STitre">
    <w:name w:val="S_Titre"/>
    <w:basedOn w:val="Normal"/>
    <w:next w:val="Normal"/>
    <w:qFormat/>
    <w:rsid w:val="00310770"/>
    <w:pPr>
      <w:keepNext/>
      <w:spacing w:before="360" w:after="60" w:line="300" w:lineRule="atLeast"/>
    </w:pPr>
    <w:rPr>
      <w:b/>
      <w:sz w:val="24"/>
      <w:szCs w:val="24"/>
    </w:rPr>
  </w:style>
  <w:style w:type="paragraph" w:customStyle="1" w:styleId="SDate">
    <w:name w:val="S_Date"/>
    <w:basedOn w:val="Normal"/>
    <w:qFormat/>
    <w:rsid w:val="008808F6"/>
    <w:pPr>
      <w:spacing w:line="240" w:lineRule="auto"/>
    </w:pPr>
    <w:rPr>
      <w:color w:val="E1002D" w:themeColor="text2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rsid w:val="00F15B5F"/>
    <w:rPr>
      <w:color w:val="000000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ourneu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A8N82MXk5F5OjlsmFi/JCaTxQ==">AMUW2mUrOw7hMI3Weh1JIORZHt1gP/FDkWqkkcFiKKms2R71Q3A8Q6PV/z0XZ4yVsgN0iXDhmjYhiwTlTBPqLQ4ZjueBBE9YVJRibW1W/FF3wrVcV6V+VsctKaD9BmJzC3Qmtk6CnRuB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Oceane.Martin</cp:lastModifiedBy>
  <cp:revision>4</cp:revision>
  <cp:lastPrinted>2021-04-08T08:58:00Z</cp:lastPrinted>
  <dcterms:created xsi:type="dcterms:W3CDTF">2021-04-08T15:03:00Z</dcterms:created>
  <dcterms:modified xsi:type="dcterms:W3CDTF">2021-04-08T15:11:00Z</dcterms:modified>
</cp:coreProperties>
</file>